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AC" w:rsidRDefault="00780EAC" w:rsidP="00780EAC">
      <w:pPr>
        <w:jc w:val="center"/>
        <w:rPr>
          <w:rFonts w:asciiTheme="majorHAnsi" w:hAnsiTheme="majorHAnsi" w:cstheme="majorHAnsi"/>
        </w:rPr>
      </w:pPr>
      <w:r>
        <w:rPr>
          <w:rFonts w:asciiTheme="majorHAnsi" w:hAnsiTheme="majorHAnsi" w:cstheme="majorHAnsi"/>
        </w:rPr>
        <w:t>Partnering with UC 4-H Youth Development Program</w:t>
      </w:r>
      <w:r w:rsidR="0025248C">
        <w:rPr>
          <w:rFonts w:asciiTheme="majorHAnsi" w:hAnsiTheme="majorHAnsi" w:cstheme="majorHAnsi"/>
        </w:rPr>
        <w:t xml:space="preserve"> in Youth Engagement Programming</w:t>
      </w:r>
    </w:p>
    <w:p w:rsidR="00780EAC" w:rsidRDefault="00780EAC" w:rsidP="00780EAC">
      <w:pPr>
        <w:jc w:val="center"/>
        <w:rPr>
          <w:rFonts w:asciiTheme="majorHAnsi" w:hAnsiTheme="majorHAnsi" w:cstheme="majorHAnsi"/>
        </w:rPr>
      </w:pPr>
      <w:r>
        <w:rPr>
          <w:rFonts w:asciiTheme="majorHAnsi" w:hAnsiTheme="majorHAnsi" w:cstheme="majorHAnsi"/>
        </w:rPr>
        <w:t>Frequently Asked Questions</w:t>
      </w:r>
    </w:p>
    <w:p w:rsidR="00780EAC" w:rsidRDefault="00780EAC" w:rsidP="00780EAC">
      <w:pPr>
        <w:pStyle w:val="ListParagraph"/>
        <w:numPr>
          <w:ilvl w:val="0"/>
          <w:numId w:val="2"/>
        </w:numPr>
        <w:rPr>
          <w:rFonts w:asciiTheme="majorHAnsi" w:hAnsiTheme="majorHAnsi" w:cstheme="majorHAnsi"/>
        </w:rPr>
      </w:pPr>
      <w:r>
        <w:rPr>
          <w:rFonts w:asciiTheme="majorHAnsi" w:hAnsiTheme="majorHAnsi" w:cstheme="majorHAnsi"/>
        </w:rPr>
        <w:t xml:space="preserve">How do I enroll CFHL, UC youth in </w:t>
      </w:r>
      <w:r w:rsidR="0025248C">
        <w:rPr>
          <w:rFonts w:asciiTheme="majorHAnsi" w:hAnsiTheme="majorHAnsi" w:cstheme="majorHAnsi"/>
        </w:rPr>
        <w:t xml:space="preserve">UC </w:t>
      </w:r>
      <w:r>
        <w:rPr>
          <w:rFonts w:asciiTheme="majorHAnsi" w:hAnsiTheme="majorHAnsi" w:cstheme="majorHAnsi"/>
        </w:rPr>
        <w:t>4-H?</w:t>
      </w:r>
    </w:p>
    <w:p w:rsidR="00780EAC" w:rsidRDefault="00780EAC" w:rsidP="00780EAC">
      <w:pPr>
        <w:pStyle w:val="ListParagraph"/>
        <w:numPr>
          <w:ilvl w:val="1"/>
          <w:numId w:val="2"/>
        </w:numPr>
        <w:rPr>
          <w:rFonts w:asciiTheme="majorHAnsi" w:hAnsiTheme="majorHAnsi" w:cstheme="majorHAnsi"/>
        </w:rPr>
      </w:pPr>
      <w:r>
        <w:rPr>
          <w:rFonts w:asciiTheme="majorHAnsi" w:hAnsiTheme="majorHAnsi" w:cstheme="majorHAnsi"/>
        </w:rPr>
        <w:t xml:space="preserve">4-H youth enrollment depends upon the type of program delivery. For youth participating in programming as part of another organization/program such as Boys and Girls Club, YMCA, organized before/after school program, </w:t>
      </w:r>
      <w:proofErr w:type="spellStart"/>
      <w:r>
        <w:rPr>
          <w:rFonts w:asciiTheme="majorHAnsi" w:hAnsiTheme="majorHAnsi" w:cstheme="majorHAnsi"/>
        </w:rPr>
        <w:t>etc</w:t>
      </w:r>
      <w:proofErr w:type="spellEnd"/>
      <w:r>
        <w:rPr>
          <w:rFonts w:asciiTheme="majorHAnsi" w:hAnsiTheme="majorHAnsi" w:cstheme="majorHAnsi"/>
        </w:rPr>
        <w:t>,</w:t>
      </w:r>
      <w:r w:rsidR="0061026D">
        <w:rPr>
          <w:rFonts w:asciiTheme="majorHAnsi" w:hAnsiTheme="majorHAnsi" w:cstheme="majorHAnsi"/>
        </w:rPr>
        <w:t xml:space="preserve"> or during school hours</w:t>
      </w:r>
      <w:r>
        <w:rPr>
          <w:rFonts w:asciiTheme="majorHAnsi" w:hAnsiTheme="majorHAnsi" w:cstheme="majorHAnsi"/>
        </w:rPr>
        <w:t xml:space="preserve"> youth can be group-enrolled, with no cost to youth</w:t>
      </w:r>
      <w:r w:rsidR="00361C8F">
        <w:rPr>
          <w:rFonts w:asciiTheme="majorHAnsi" w:hAnsiTheme="majorHAnsi" w:cstheme="majorHAnsi"/>
        </w:rPr>
        <w:t xml:space="preserve"> group-enrolled as </w:t>
      </w:r>
      <w:r>
        <w:rPr>
          <w:rFonts w:asciiTheme="majorHAnsi" w:hAnsiTheme="majorHAnsi" w:cstheme="majorHAnsi"/>
        </w:rPr>
        <w:t xml:space="preserve">4-H </w:t>
      </w:r>
      <w:r w:rsidR="00361C8F">
        <w:rPr>
          <w:rFonts w:asciiTheme="majorHAnsi" w:hAnsiTheme="majorHAnsi" w:cstheme="majorHAnsi"/>
        </w:rPr>
        <w:t>members</w:t>
      </w:r>
      <w:r>
        <w:rPr>
          <w:rFonts w:asciiTheme="majorHAnsi" w:hAnsiTheme="majorHAnsi" w:cstheme="majorHAnsi"/>
        </w:rPr>
        <w:t>. If the youth are not participating in the program as part of another organization, they need to be individually enrolled in 4-H for liability purposes, and the individual enrollment fee for that year must be paid per 4-H youth member.</w:t>
      </w:r>
      <w:r w:rsidR="00D8187E">
        <w:rPr>
          <w:rFonts w:asciiTheme="majorHAnsi" w:hAnsiTheme="majorHAnsi" w:cstheme="majorHAnsi"/>
        </w:rPr>
        <w:t xml:space="preserve"> This is determined by whether or not the youth are covered by the site’s insurance plan. If someone is already covering them, then they can be group-enrolled.</w:t>
      </w:r>
    </w:p>
    <w:p w:rsidR="00780EAC" w:rsidRDefault="00780EAC" w:rsidP="00780EAC">
      <w:pPr>
        <w:pStyle w:val="ListParagraph"/>
        <w:numPr>
          <w:ilvl w:val="1"/>
          <w:numId w:val="2"/>
        </w:numPr>
        <w:rPr>
          <w:rFonts w:asciiTheme="majorHAnsi" w:hAnsiTheme="majorHAnsi" w:cstheme="majorHAnsi"/>
        </w:rPr>
      </w:pPr>
      <w:r>
        <w:rPr>
          <w:rFonts w:asciiTheme="majorHAnsi" w:hAnsiTheme="majorHAnsi" w:cstheme="majorHAnsi"/>
        </w:rPr>
        <w:t xml:space="preserve">CFHL, UC staff should work closely with UCCE 4-H staff locally to complete enrollment according to local processes. Enrollment forms can be found on the </w:t>
      </w:r>
      <w:hyperlink r:id="rId8" w:history="1">
        <w:r w:rsidRPr="00780EAC">
          <w:rPr>
            <w:rStyle w:val="Hyperlink"/>
            <w:rFonts w:asciiTheme="majorHAnsi" w:hAnsiTheme="majorHAnsi" w:cstheme="majorHAnsi"/>
          </w:rPr>
          <w:t>UCANR 4-H Enrollment Forms webpage</w:t>
        </w:r>
      </w:hyperlink>
      <w:r>
        <w:rPr>
          <w:rFonts w:asciiTheme="majorHAnsi" w:hAnsiTheme="majorHAnsi" w:cstheme="majorHAnsi"/>
        </w:rPr>
        <w:t>.</w:t>
      </w:r>
      <w:r w:rsidR="007A2630">
        <w:rPr>
          <w:rFonts w:asciiTheme="majorHAnsi" w:hAnsiTheme="majorHAnsi" w:cstheme="majorHAnsi"/>
        </w:rPr>
        <w:t xml:space="preserve"> 4-H staff will need to complete the enrollment process</w:t>
      </w:r>
      <w:r w:rsidR="00871F92">
        <w:rPr>
          <w:rFonts w:asciiTheme="majorHAnsi" w:hAnsiTheme="majorHAnsi" w:cstheme="majorHAnsi"/>
        </w:rPr>
        <w:t xml:space="preserve"> for youth</w:t>
      </w:r>
      <w:r w:rsidR="007A2630">
        <w:rPr>
          <w:rFonts w:asciiTheme="majorHAnsi" w:hAnsiTheme="majorHAnsi" w:cstheme="majorHAnsi"/>
        </w:rPr>
        <w:t xml:space="preserve"> in 4hOnline.</w:t>
      </w:r>
    </w:p>
    <w:p w:rsidR="00DB7FB8" w:rsidRDefault="00DB7FB8" w:rsidP="00780EAC">
      <w:pPr>
        <w:pStyle w:val="ListParagraph"/>
        <w:numPr>
          <w:ilvl w:val="1"/>
          <w:numId w:val="2"/>
        </w:numPr>
        <w:rPr>
          <w:rFonts w:asciiTheme="majorHAnsi" w:hAnsiTheme="majorHAnsi" w:cstheme="majorHAnsi"/>
        </w:rPr>
      </w:pPr>
      <w:r>
        <w:rPr>
          <w:rFonts w:asciiTheme="majorHAnsi" w:hAnsiTheme="majorHAnsi" w:cstheme="majorHAnsi"/>
        </w:rPr>
        <w:t>Note: Individual enrollment allows for overnight programming. If yo</w:t>
      </w:r>
      <w:r w:rsidR="006144D5">
        <w:rPr>
          <w:rFonts w:asciiTheme="majorHAnsi" w:hAnsiTheme="majorHAnsi" w:cstheme="majorHAnsi"/>
        </w:rPr>
        <w:t>uth plan to attend conferences</w:t>
      </w:r>
      <w:r>
        <w:rPr>
          <w:rFonts w:asciiTheme="majorHAnsi" w:hAnsiTheme="majorHAnsi" w:cstheme="majorHAnsi"/>
        </w:rPr>
        <w:t xml:space="preserve">, events, </w:t>
      </w:r>
      <w:proofErr w:type="spellStart"/>
      <w:r>
        <w:rPr>
          <w:rFonts w:asciiTheme="majorHAnsi" w:hAnsiTheme="majorHAnsi" w:cstheme="majorHAnsi"/>
        </w:rPr>
        <w:t>etc</w:t>
      </w:r>
      <w:proofErr w:type="spellEnd"/>
      <w:r>
        <w:rPr>
          <w:rFonts w:asciiTheme="majorHAnsi" w:hAnsiTheme="majorHAnsi" w:cstheme="majorHAnsi"/>
        </w:rPr>
        <w:t xml:space="preserve"> that involve overnight stay, they must be individually enrolled in 4-H.</w:t>
      </w:r>
    </w:p>
    <w:p w:rsidR="0061026D" w:rsidRDefault="0061026D" w:rsidP="0061026D">
      <w:pPr>
        <w:pStyle w:val="ListParagraph"/>
        <w:numPr>
          <w:ilvl w:val="0"/>
          <w:numId w:val="2"/>
        </w:numPr>
        <w:rPr>
          <w:rFonts w:asciiTheme="majorHAnsi" w:hAnsiTheme="majorHAnsi" w:cstheme="majorHAnsi"/>
        </w:rPr>
      </w:pPr>
      <w:r>
        <w:rPr>
          <w:rFonts w:asciiTheme="majorHAnsi" w:hAnsiTheme="majorHAnsi" w:cstheme="majorHAnsi"/>
        </w:rPr>
        <w:t>If the CFHL, UC project does not occur during school hours or as part of another organization/program, how do we fund the individual enrollment fees for each youth?</w:t>
      </w:r>
    </w:p>
    <w:p w:rsidR="0061026D" w:rsidRDefault="0061026D" w:rsidP="0061026D">
      <w:pPr>
        <w:pStyle w:val="ListParagraph"/>
        <w:numPr>
          <w:ilvl w:val="1"/>
          <w:numId w:val="2"/>
        </w:numPr>
        <w:rPr>
          <w:rFonts w:asciiTheme="majorHAnsi" w:hAnsiTheme="majorHAnsi" w:cstheme="majorHAnsi"/>
        </w:rPr>
      </w:pPr>
      <w:r>
        <w:rPr>
          <w:rFonts w:asciiTheme="majorHAnsi" w:hAnsiTheme="majorHAnsi" w:cstheme="majorHAnsi"/>
        </w:rPr>
        <w:t>SNAP-Ed funds cannot be used to pay for individual 4-H member enrollment fees. Connect with your local UCCE 4-H staff and/or advisor to discuss potential funding streams to individually enroll the CFHL, UC youth in 4-H.</w:t>
      </w:r>
      <w:r w:rsidR="00D8187E">
        <w:rPr>
          <w:rFonts w:asciiTheme="majorHAnsi" w:hAnsiTheme="majorHAnsi" w:cstheme="majorHAnsi"/>
        </w:rPr>
        <w:t xml:space="preserve"> A reduced enrollment fee might be able to be negotiated if they need to be individually enrolled, but will not be participating in 4-H in any other capacity. Other grant funds or donations can be used to cover this expense.</w:t>
      </w:r>
    </w:p>
    <w:p w:rsidR="006060A7" w:rsidRDefault="006060A7" w:rsidP="006060A7">
      <w:pPr>
        <w:pStyle w:val="ListParagraph"/>
        <w:numPr>
          <w:ilvl w:val="0"/>
          <w:numId w:val="2"/>
        </w:numPr>
        <w:rPr>
          <w:rFonts w:asciiTheme="majorHAnsi" w:hAnsiTheme="majorHAnsi" w:cstheme="majorHAnsi"/>
        </w:rPr>
      </w:pPr>
      <w:r>
        <w:rPr>
          <w:rFonts w:asciiTheme="majorHAnsi" w:hAnsiTheme="majorHAnsi" w:cstheme="majorHAnsi"/>
        </w:rPr>
        <w:t>What is the benefit of partnering with UC 4-H?</w:t>
      </w:r>
    </w:p>
    <w:p w:rsidR="006060A7" w:rsidRDefault="006060A7" w:rsidP="006060A7">
      <w:pPr>
        <w:pStyle w:val="ListParagraph"/>
        <w:numPr>
          <w:ilvl w:val="1"/>
          <w:numId w:val="2"/>
        </w:numPr>
        <w:rPr>
          <w:rFonts w:asciiTheme="majorHAnsi" w:hAnsiTheme="majorHAnsi" w:cstheme="majorHAnsi"/>
        </w:rPr>
      </w:pPr>
      <w:r>
        <w:rPr>
          <w:rFonts w:asciiTheme="majorHAnsi" w:hAnsiTheme="majorHAnsi" w:cstheme="majorHAnsi"/>
        </w:rPr>
        <w:t>There are many benefits to partnering across UCCE programs. Some examples include, leveraging resources, skills and knowledge, expanding program opportunities, improving experiences for youth</w:t>
      </w:r>
      <w:r w:rsidR="0025248C">
        <w:rPr>
          <w:rFonts w:asciiTheme="majorHAnsi" w:hAnsiTheme="majorHAnsi" w:cstheme="majorHAnsi"/>
        </w:rPr>
        <w:t>, developing programming, and identifying new and existing collaborations, amongst others.</w:t>
      </w:r>
      <w:r w:rsidR="00D8187E">
        <w:rPr>
          <w:rFonts w:asciiTheme="majorHAnsi" w:hAnsiTheme="majorHAnsi" w:cstheme="majorHAnsi"/>
        </w:rPr>
        <w:t xml:space="preserve"> 4-H staff are experts at working with youth in non-formal settings (e.g. outside of the classroom) and may be able to lend expertise in this delivery mode.</w:t>
      </w:r>
    </w:p>
    <w:p w:rsidR="0025248C" w:rsidRDefault="0025248C" w:rsidP="0025248C">
      <w:pPr>
        <w:pStyle w:val="ListParagraph"/>
        <w:numPr>
          <w:ilvl w:val="0"/>
          <w:numId w:val="2"/>
        </w:numPr>
        <w:rPr>
          <w:rFonts w:asciiTheme="majorHAnsi" w:hAnsiTheme="majorHAnsi" w:cstheme="majorHAnsi"/>
        </w:rPr>
      </w:pPr>
      <w:r>
        <w:rPr>
          <w:rFonts w:asciiTheme="majorHAnsi" w:hAnsiTheme="majorHAnsi" w:cstheme="majorHAnsi"/>
        </w:rPr>
        <w:t>How will CFHL, UC youth know they are 4-H members?</w:t>
      </w:r>
    </w:p>
    <w:p w:rsidR="0025248C" w:rsidRDefault="0025248C" w:rsidP="0025248C">
      <w:pPr>
        <w:pStyle w:val="ListParagraph"/>
        <w:numPr>
          <w:ilvl w:val="1"/>
          <w:numId w:val="2"/>
        </w:numPr>
        <w:rPr>
          <w:rFonts w:asciiTheme="majorHAnsi" w:hAnsiTheme="majorHAnsi" w:cstheme="majorHAnsi"/>
        </w:rPr>
      </w:pPr>
      <w:r>
        <w:rPr>
          <w:rFonts w:asciiTheme="majorHAnsi" w:hAnsiTheme="majorHAnsi" w:cstheme="majorHAnsi"/>
        </w:rPr>
        <w:t>When partnering with UC 4-H, there are opportunities for co-branding on developed materials and communication. Talking with youth about what it means to be involved in 4-H as part of their involvement with CFHL, UC can expose them to new activities and events within 4-H and UCCE.</w:t>
      </w:r>
    </w:p>
    <w:p w:rsidR="0025248C" w:rsidRDefault="0025248C" w:rsidP="0025248C">
      <w:pPr>
        <w:pStyle w:val="ListParagraph"/>
        <w:numPr>
          <w:ilvl w:val="0"/>
          <w:numId w:val="2"/>
        </w:numPr>
        <w:rPr>
          <w:rFonts w:asciiTheme="majorHAnsi" w:hAnsiTheme="majorHAnsi" w:cstheme="majorHAnsi"/>
        </w:rPr>
      </w:pPr>
      <w:r>
        <w:rPr>
          <w:rFonts w:asciiTheme="majorHAnsi" w:hAnsiTheme="majorHAnsi" w:cstheme="majorHAnsi"/>
        </w:rPr>
        <w:t>Are there specific evaluation tools we should be using if we partner with UC 4-H?</w:t>
      </w:r>
    </w:p>
    <w:p w:rsidR="0025248C" w:rsidRDefault="0025248C" w:rsidP="0025248C">
      <w:pPr>
        <w:pStyle w:val="ListParagraph"/>
        <w:numPr>
          <w:ilvl w:val="1"/>
          <w:numId w:val="2"/>
        </w:numPr>
        <w:rPr>
          <w:rFonts w:asciiTheme="majorHAnsi" w:hAnsiTheme="majorHAnsi" w:cstheme="majorHAnsi"/>
        </w:rPr>
      </w:pPr>
      <w:r>
        <w:rPr>
          <w:rFonts w:asciiTheme="majorHAnsi" w:hAnsiTheme="majorHAnsi" w:cstheme="majorHAnsi"/>
        </w:rPr>
        <w:t xml:space="preserve">Depending on the type of youth engagement program being delivered, there may be evaluation tools of interest. The </w:t>
      </w:r>
      <w:hyperlink r:id="rId9" w:history="1">
        <w:r w:rsidRPr="0025248C">
          <w:rPr>
            <w:rStyle w:val="Hyperlink"/>
            <w:rFonts w:asciiTheme="majorHAnsi" w:hAnsiTheme="majorHAnsi" w:cstheme="majorHAnsi"/>
          </w:rPr>
          <w:t>Teen Teacher Retrospective Survey</w:t>
        </w:r>
      </w:hyperlink>
      <w:r>
        <w:rPr>
          <w:rFonts w:asciiTheme="majorHAnsi" w:hAnsiTheme="majorHAnsi" w:cstheme="majorHAnsi"/>
        </w:rPr>
        <w:t xml:space="preserve"> captures data on teens’ experiences serving as teachers for younger youth in the CFHL, UC program. The 4-H Healthy Living Common Measures are incorporated throughout the survey. Survey data is reported in the </w:t>
      </w:r>
      <w:hyperlink r:id="rId10" w:history="1">
        <w:r w:rsidRPr="0025248C">
          <w:rPr>
            <w:rStyle w:val="Hyperlink"/>
            <w:rFonts w:asciiTheme="majorHAnsi" w:hAnsiTheme="majorHAnsi" w:cstheme="majorHAnsi"/>
          </w:rPr>
          <w:t>online portal</w:t>
        </w:r>
      </w:hyperlink>
      <w:r>
        <w:rPr>
          <w:rFonts w:asciiTheme="majorHAnsi" w:hAnsiTheme="majorHAnsi" w:cstheme="majorHAnsi"/>
        </w:rPr>
        <w:t>.</w:t>
      </w:r>
    </w:p>
    <w:p w:rsidR="0025248C" w:rsidRDefault="0025248C" w:rsidP="0025248C">
      <w:pPr>
        <w:pStyle w:val="ListParagraph"/>
        <w:numPr>
          <w:ilvl w:val="1"/>
          <w:numId w:val="2"/>
        </w:numPr>
        <w:rPr>
          <w:rFonts w:asciiTheme="majorHAnsi" w:hAnsiTheme="majorHAnsi" w:cstheme="majorHAnsi"/>
        </w:rPr>
      </w:pPr>
      <w:r>
        <w:rPr>
          <w:rFonts w:asciiTheme="majorHAnsi" w:hAnsiTheme="majorHAnsi" w:cstheme="majorHAnsi"/>
        </w:rPr>
        <w:t xml:space="preserve">Other evaluation tools for youth engagement programming include Youth-Led Participatory Action Research (YPAR) pre/post survey, retrospective survey, and project assessment, as well as the </w:t>
      </w:r>
      <w:r>
        <w:rPr>
          <w:rFonts w:asciiTheme="majorHAnsi" w:hAnsiTheme="majorHAnsi" w:cstheme="majorHAnsi"/>
        </w:rPr>
        <w:lastRenderedPageBreak/>
        <w:t xml:space="preserve">Cooking Academy pre/post survey. Each of these surveys can be found on the </w:t>
      </w:r>
      <w:hyperlink r:id="rId11" w:history="1">
        <w:r w:rsidRPr="0025248C">
          <w:rPr>
            <w:rStyle w:val="Hyperlink"/>
            <w:rFonts w:asciiTheme="majorHAnsi" w:hAnsiTheme="majorHAnsi" w:cstheme="majorHAnsi"/>
          </w:rPr>
          <w:t>Youth Evaluation Tools webpage</w:t>
        </w:r>
      </w:hyperlink>
      <w:r>
        <w:rPr>
          <w:rFonts w:asciiTheme="majorHAnsi" w:hAnsiTheme="majorHAnsi" w:cstheme="majorHAnsi"/>
        </w:rPr>
        <w:t xml:space="preserve"> of the CFHL, UC website.</w:t>
      </w:r>
    </w:p>
    <w:p w:rsidR="00361C8F" w:rsidRDefault="00361C8F" w:rsidP="0025248C">
      <w:pPr>
        <w:pStyle w:val="ListParagraph"/>
        <w:numPr>
          <w:ilvl w:val="1"/>
          <w:numId w:val="2"/>
        </w:numPr>
        <w:rPr>
          <w:rFonts w:asciiTheme="majorHAnsi" w:hAnsiTheme="majorHAnsi" w:cstheme="majorHAnsi"/>
        </w:rPr>
      </w:pPr>
      <w:r>
        <w:rPr>
          <w:rFonts w:asciiTheme="majorHAnsi" w:hAnsiTheme="majorHAnsi" w:cstheme="majorHAnsi"/>
        </w:rPr>
        <w:t>4-H Common Measures evaluation tools ar</w:t>
      </w:r>
      <w:r w:rsidR="000C4E3F">
        <w:rPr>
          <w:rFonts w:asciiTheme="majorHAnsi" w:hAnsiTheme="majorHAnsi" w:cstheme="majorHAnsi"/>
        </w:rPr>
        <w:t>e also available to assess the impacts of 4-H programs in</w:t>
      </w:r>
      <w:r>
        <w:rPr>
          <w:rFonts w:asciiTheme="majorHAnsi" w:hAnsiTheme="majorHAnsi" w:cstheme="majorHAnsi"/>
        </w:rPr>
        <w:t xml:space="preserve"> Healthy Living, Science, Civic Engagement, College/Career Readiness, and Positive Youth Development. Connect with </w:t>
      </w:r>
      <w:r w:rsidR="000C4E3F">
        <w:rPr>
          <w:rFonts w:asciiTheme="majorHAnsi" w:hAnsiTheme="majorHAnsi" w:cstheme="majorHAnsi"/>
        </w:rPr>
        <w:t>the UC</w:t>
      </w:r>
      <w:r>
        <w:rPr>
          <w:rFonts w:asciiTheme="majorHAnsi" w:hAnsiTheme="majorHAnsi" w:cstheme="majorHAnsi"/>
        </w:rPr>
        <w:t xml:space="preserve"> 4-H </w:t>
      </w:r>
      <w:r w:rsidR="000C4E3F">
        <w:rPr>
          <w:rFonts w:asciiTheme="majorHAnsi" w:hAnsiTheme="majorHAnsi" w:cstheme="majorHAnsi"/>
        </w:rPr>
        <w:t>State Evaluator</w:t>
      </w:r>
      <w:r>
        <w:rPr>
          <w:rFonts w:asciiTheme="majorHAnsi" w:hAnsiTheme="majorHAnsi" w:cstheme="majorHAnsi"/>
        </w:rPr>
        <w:t xml:space="preserve"> about 4-H Common Measure use for youth enrolled in 4-H.</w:t>
      </w:r>
    </w:p>
    <w:p w:rsidR="00D8187E" w:rsidRDefault="00D8187E" w:rsidP="00D8187E">
      <w:pPr>
        <w:pStyle w:val="ListParagraph"/>
        <w:numPr>
          <w:ilvl w:val="0"/>
          <w:numId w:val="2"/>
        </w:numPr>
        <w:rPr>
          <w:rFonts w:asciiTheme="majorHAnsi" w:hAnsiTheme="majorHAnsi" w:cstheme="majorHAnsi"/>
        </w:rPr>
      </w:pPr>
      <w:r>
        <w:rPr>
          <w:rFonts w:asciiTheme="majorHAnsi" w:hAnsiTheme="majorHAnsi" w:cstheme="majorHAnsi"/>
        </w:rPr>
        <w:t>Are there benefits to UC 4-H for me to enroll youth?</w:t>
      </w:r>
    </w:p>
    <w:p w:rsidR="00D8187E" w:rsidRDefault="00D8187E" w:rsidP="00D8187E">
      <w:pPr>
        <w:pStyle w:val="ListParagraph"/>
        <w:numPr>
          <w:ilvl w:val="1"/>
          <w:numId w:val="2"/>
        </w:numPr>
        <w:rPr>
          <w:rFonts w:asciiTheme="majorHAnsi" w:hAnsiTheme="majorHAnsi" w:cstheme="majorHAnsi"/>
        </w:rPr>
      </w:pPr>
      <w:r>
        <w:rPr>
          <w:rFonts w:asciiTheme="majorHAnsi" w:hAnsiTheme="majorHAnsi" w:cstheme="majorHAnsi"/>
        </w:rPr>
        <w:t xml:space="preserve">Yes, UC 4-H has value for all young people in your county. By exposing them to this opportunity, you increase their chances for developing life and leadership skills that can lead to successful futures. 4-H does not have a national advertising budget, so word of mouth is a necessity. Additionally, 4-H oftentimes has barriers to reaching many of the youth reached by our CFHL, UC programs. Ultimately this increases the reach of our UCANR programs to those most in need. </w:t>
      </w:r>
      <w:r w:rsidR="004B2423">
        <w:rPr>
          <w:rFonts w:asciiTheme="majorHAnsi" w:hAnsiTheme="majorHAnsi" w:cstheme="majorHAnsi"/>
        </w:rPr>
        <w:t xml:space="preserve">Increasing enrollment locally </w:t>
      </w:r>
      <w:r w:rsidR="00D71221">
        <w:rPr>
          <w:rFonts w:asciiTheme="majorHAnsi" w:hAnsiTheme="majorHAnsi" w:cstheme="majorHAnsi"/>
        </w:rPr>
        <w:t>may</w:t>
      </w:r>
      <w:r w:rsidR="004B2423">
        <w:rPr>
          <w:rFonts w:asciiTheme="majorHAnsi" w:hAnsiTheme="majorHAnsi" w:cstheme="majorHAnsi"/>
        </w:rPr>
        <w:t xml:space="preserve"> also benefit the local county UCCE office </w:t>
      </w:r>
      <w:r w:rsidR="00DE7220">
        <w:rPr>
          <w:rFonts w:asciiTheme="majorHAnsi" w:hAnsiTheme="majorHAnsi" w:cstheme="majorHAnsi"/>
        </w:rPr>
        <w:t xml:space="preserve">and/or UC State Office programmatically and </w:t>
      </w:r>
      <w:r w:rsidR="004B2423">
        <w:rPr>
          <w:rFonts w:asciiTheme="majorHAnsi" w:hAnsiTheme="majorHAnsi" w:cstheme="majorHAnsi"/>
        </w:rPr>
        <w:t>fiscally.</w:t>
      </w:r>
    </w:p>
    <w:p w:rsidR="004B2423" w:rsidRDefault="004B2423" w:rsidP="004B2423">
      <w:pPr>
        <w:pStyle w:val="ListParagraph"/>
        <w:numPr>
          <w:ilvl w:val="0"/>
          <w:numId w:val="2"/>
        </w:numPr>
        <w:rPr>
          <w:rFonts w:asciiTheme="majorHAnsi" w:hAnsiTheme="majorHAnsi" w:cstheme="majorHAnsi"/>
        </w:rPr>
      </w:pPr>
      <w:r>
        <w:rPr>
          <w:rFonts w:asciiTheme="majorHAnsi" w:hAnsiTheme="majorHAnsi" w:cstheme="majorHAnsi"/>
        </w:rPr>
        <w:t>I thought 4-H was just clubs of youth who raise animals. How does it relate to the goals of CFHL, UC?</w:t>
      </w:r>
    </w:p>
    <w:p w:rsidR="004B2423" w:rsidRDefault="004B2423" w:rsidP="004B2423">
      <w:pPr>
        <w:pStyle w:val="ListParagraph"/>
        <w:numPr>
          <w:ilvl w:val="1"/>
          <w:numId w:val="2"/>
        </w:numPr>
        <w:rPr>
          <w:rFonts w:asciiTheme="majorHAnsi" w:hAnsiTheme="majorHAnsi" w:cstheme="majorHAnsi"/>
        </w:rPr>
      </w:pPr>
      <w:r>
        <w:rPr>
          <w:rFonts w:asciiTheme="majorHAnsi" w:hAnsiTheme="majorHAnsi" w:cstheme="majorHAnsi"/>
        </w:rPr>
        <w:t xml:space="preserve">4-H is a broad Youth Development Program with many different delivery modes. The club program is the most common. Historically, 4-H was an agricultural education program, but has greatly expanded to include healthy </w:t>
      </w:r>
      <w:proofErr w:type="spellStart"/>
      <w:r>
        <w:rPr>
          <w:rFonts w:asciiTheme="majorHAnsi" w:hAnsiTheme="majorHAnsi" w:cstheme="majorHAnsi"/>
        </w:rPr>
        <w:t>living,</w:t>
      </w:r>
      <w:proofErr w:type="spellEnd"/>
      <w:r>
        <w:rPr>
          <w:rFonts w:asciiTheme="majorHAnsi" w:hAnsiTheme="majorHAnsi" w:cstheme="majorHAnsi"/>
        </w:rPr>
        <w:t xml:space="preserve"> science, citizenship, leadership, creative arts, and more. “Health” is one of the 4 “H”s and is a national and state priority area for the program. Additionally, 4-H staff may have expertise in child development topics new to CFHL, UC such as youth engagement, youth-adult partnerships, and participatory action research. These are growing areas in our nutrition programs, and collaboration will improve the impact. Several SNAP-Ed (CalFresh Healthy Living) approved nutrition curricula are also 4-H curricula, such as Cooking 101 and Choose Health. Consistent messaging in our communities across these programs can bolster the opportunity for positive change.</w:t>
      </w:r>
    </w:p>
    <w:p w:rsidR="0078780B" w:rsidRDefault="0078780B" w:rsidP="0078780B">
      <w:pPr>
        <w:pStyle w:val="ListParagraph"/>
        <w:numPr>
          <w:ilvl w:val="0"/>
          <w:numId w:val="2"/>
        </w:numPr>
        <w:rPr>
          <w:rFonts w:asciiTheme="majorHAnsi" w:hAnsiTheme="majorHAnsi" w:cstheme="majorHAnsi"/>
        </w:rPr>
      </w:pPr>
      <w:r>
        <w:rPr>
          <w:rFonts w:asciiTheme="majorHAnsi" w:hAnsiTheme="majorHAnsi" w:cstheme="majorHAnsi"/>
        </w:rPr>
        <w:t>For counties enrolling CFHL, UC youth in 4-H, are there already existing clubs they enroll them into, or do they create a club for CFHL, UC youth?</w:t>
      </w:r>
    </w:p>
    <w:p w:rsidR="0078780B" w:rsidRDefault="0078780B" w:rsidP="0078780B">
      <w:pPr>
        <w:pStyle w:val="ListParagraph"/>
        <w:numPr>
          <w:ilvl w:val="1"/>
          <w:numId w:val="2"/>
        </w:numPr>
        <w:rPr>
          <w:rFonts w:asciiTheme="majorHAnsi" w:hAnsiTheme="majorHAnsi" w:cstheme="majorHAnsi"/>
        </w:rPr>
      </w:pPr>
      <w:r>
        <w:rPr>
          <w:rFonts w:asciiTheme="majorHAnsi" w:hAnsiTheme="majorHAnsi" w:cstheme="majorHAnsi"/>
        </w:rPr>
        <w:t>When youth are enrolled in 4hOnline, a club or countywide project must be selected. Depending on the county and local 4-H program, this may be done in a variety of ways. It is up to the county how they report their CFHL, UC youth enrolled in 4-H through the 4hOnline system. Check with your local UCCE 4-H staff or advisor about ideas and suggestions based on how they currently complete enrollment for establishing a club or project, or multiple clubs/projects, in order to enroll CFHL, UC youth into the 4-H program.</w:t>
      </w:r>
    </w:p>
    <w:p w:rsidR="0078780B" w:rsidRDefault="0078780B" w:rsidP="0078780B">
      <w:pPr>
        <w:pStyle w:val="ListParagraph"/>
        <w:numPr>
          <w:ilvl w:val="1"/>
          <w:numId w:val="2"/>
        </w:numPr>
        <w:rPr>
          <w:rFonts w:asciiTheme="majorHAnsi" w:hAnsiTheme="majorHAnsi" w:cstheme="majorHAnsi"/>
        </w:rPr>
      </w:pPr>
      <w:r>
        <w:rPr>
          <w:rFonts w:asciiTheme="majorHAnsi" w:hAnsiTheme="majorHAnsi" w:cstheme="majorHAnsi"/>
        </w:rPr>
        <w:t xml:space="preserve">Using the Teens as Teachers programming as an example, there could be a club or countywide project in 4hOnline that is titled Teens as Teachers – CFHL, UC (or another name that 4-H staff might suggest). All the CFHL, UC youth participating in Teens as Teachers could then be enrolled into this club or project. Similarly, a club or project could be established for a site, </w:t>
      </w:r>
      <w:proofErr w:type="gramStart"/>
      <w:r>
        <w:rPr>
          <w:rFonts w:asciiTheme="majorHAnsi" w:hAnsiTheme="majorHAnsi" w:cstheme="majorHAnsi"/>
        </w:rPr>
        <w:t>a</w:t>
      </w:r>
      <w:proofErr w:type="gramEnd"/>
      <w:r>
        <w:rPr>
          <w:rFonts w:asciiTheme="majorHAnsi" w:hAnsiTheme="majorHAnsi" w:cstheme="majorHAnsi"/>
        </w:rPr>
        <w:t xml:space="preserve"> YPAR project, or SNAC club.</w:t>
      </w:r>
    </w:p>
    <w:p w:rsidR="0078780B" w:rsidRPr="0078780B" w:rsidRDefault="0078780B" w:rsidP="0078780B">
      <w:pPr>
        <w:pStyle w:val="ListParagraph"/>
        <w:numPr>
          <w:ilvl w:val="1"/>
          <w:numId w:val="2"/>
        </w:numPr>
        <w:rPr>
          <w:rFonts w:asciiTheme="majorHAnsi" w:hAnsiTheme="majorHAnsi" w:cstheme="majorHAnsi"/>
        </w:rPr>
      </w:pPr>
      <w:r>
        <w:rPr>
          <w:rFonts w:asciiTheme="majorHAnsi" w:hAnsiTheme="majorHAnsi" w:cstheme="majorHAnsi"/>
        </w:rPr>
        <w:t xml:space="preserve">CFHL, UC youth would not know what club or project they are enrolled into in 4hOnline unless </w:t>
      </w:r>
      <w:r w:rsidR="00C64830">
        <w:rPr>
          <w:rFonts w:asciiTheme="majorHAnsi" w:hAnsiTheme="majorHAnsi" w:cstheme="majorHAnsi"/>
        </w:rPr>
        <w:t>they log-in to the system or ask, however doing so allows for their enrollment to be completed and the data is captured in the 4hOnline database to be reported for the county and at the state level.</w:t>
      </w:r>
    </w:p>
    <w:sectPr w:rsidR="0078780B" w:rsidRPr="0078780B" w:rsidSect="002E09EF">
      <w:headerReference w:type="even" r:id="rId12"/>
      <w:headerReference w:type="default" r:id="rId13"/>
      <w:footerReference w:type="even" r:id="rId14"/>
      <w:footerReference w:type="default" r:id="rId15"/>
      <w:headerReference w:type="first" r:id="rId16"/>
      <w:footerReference w:type="first" r:id="rId17"/>
      <w:pgSz w:w="12240" w:h="15840"/>
      <w:pgMar w:top="720" w:right="630" w:bottom="630" w:left="630" w:header="720" w:footer="4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9D" w:rsidRDefault="00DA1D9D" w:rsidP="003300F2">
      <w:pPr>
        <w:spacing w:after="0" w:line="240" w:lineRule="auto"/>
      </w:pPr>
      <w:r>
        <w:separator/>
      </w:r>
    </w:p>
  </w:endnote>
  <w:endnote w:type="continuationSeparator" w:id="0">
    <w:p w:rsidR="00DA1D9D" w:rsidRDefault="00DA1D9D" w:rsidP="0033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EF" w:rsidRDefault="002E0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72748A" w:rsidRDefault="00BD392E" w:rsidP="00BD392E">
    <w:pPr>
      <w:pStyle w:val="Footer"/>
      <w:pBdr>
        <w:top w:val="single" w:sz="24" w:space="1" w:color="0093D0"/>
      </w:pBdr>
      <w:spacing w:after="60"/>
      <w:jc w:val="center"/>
      <w:rPr>
        <w:rFonts w:ascii="Arial" w:hAnsi="Arial" w:cs="Arial"/>
        <w:color w:val="44546A" w:themeColor="text2"/>
        <w:sz w:val="14"/>
      </w:rPr>
    </w:pPr>
    <w:r w:rsidRPr="000F1895">
      <w:rPr>
        <w:rFonts w:ascii="Arial" w:hAnsi="Arial" w:cs="Arial"/>
        <w:sz w:val="14"/>
      </w:rPr>
      <w:ptab w:relativeTo="margin" w:alignment="center" w:leader="none"/>
    </w:r>
    <w:sdt>
      <w:sdtPr>
        <w:rPr>
          <w:rFonts w:ascii="Arial" w:hAnsi="Arial" w:cs="Arial"/>
          <w:sz w:val="14"/>
        </w:rPr>
        <w:id w:val="691192045"/>
        <w:docPartObj>
          <w:docPartGallery w:val="Page Numbers (Top of Page)"/>
          <w:docPartUnique/>
        </w:docPartObj>
      </w:sdtPr>
      <w:sdtEndPr>
        <w:rPr>
          <w:color w:val="44546A" w:themeColor="text2"/>
        </w:rPr>
      </w:sdtEndPr>
      <w:sdtContent>
        <w:r w:rsidRPr="0072748A">
          <w:rPr>
            <w:rFonts w:ascii="Arial" w:hAnsi="Arial" w:cs="Arial"/>
            <w:color w:val="44546A" w:themeColor="text2"/>
            <w:sz w:val="14"/>
          </w:rPr>
          <w:t xml:space="preserve">Page </w:t>
        </w:r>
        <w:r w:rsidRPr="0072748A">
          <w:rPr>
            <w:rFonts w:ascii="Arial" w:hAnsi="Arial" w:cs="Arial"/>
            <w:b/>
            <w:bCs/>
            <w:color w:val="44546A" w:themeColor="text2"/>
            <w:sz w:val="16"/>
            <w:szCs w:val="24"/>
          </w:rPr>
          <w:fldChar w:fldCharType="begin"/>
        </w:r>
        <w:r w:rsidRPr="0072748A">
          <w:rPr>
            <w:rFonts w:ascii="Arial" w:hAnsi="Arial" w:cs="Arial"/>
            <w:b/>
            <w:bCs/>
            <w:color w:val="44546A" w:themeColor="text2"/>
            <w:sz w:val="14"/>
          </w:rPr>
          <w:instrText xml:space="preserve"> PAGE </w:instrText>
        </w:r>
        <w:r w:rsidRPr="0072748A">
          <w:rPr>
            <w:rFonts w:ascii="Arial" w:hAnsi="Arial" w:cs="Arial"/>
            <w:b/>
            <w:bCs/>
            <w:color w:val="44546A" w:themeColor="text2"/>
            <w:sz w:val="16"/>
            <w:szCs w:val="24"/>
          </w:rPr>
          <w:fldChar w:fldCharType="separate"/>
        </w:r>
        <w:r w:rsidR="002E09EF">
          <w:rPr>
            <w:rFonts w:ascii="Arial" w:hAnsi="Arial" w:cs="Arial"/>
            <w:b/>
            <w:bCs/>
            <w:noProof/>
            <w:color w:val="44546A" w:themeColor="text2"/>
            <w:sz w:val="14"/>
          </w:rPr>
          <w:t>2</w:t>
        </w:r>
        <w:r w:rsidRPr="0072748A">
          <w:rPr>
            <w:rFonts w:ascii="Arial" w:hAnsi="Arial" w:cs="Arial"/>
            <w:b/>
            <w:bCs/>
            <w:color w:val="44546A" w:themeColor="text2"/>
            <w:sz w:val="16"/>
            <w:szCs w:val="24"/>
          </w:rPr>
          <w:fldChar w:fldCharType="end"/>
        </w:r>
        <w:r w:rsidRPr="0072748A">
          <w:rPr>
            <w:rFonts w:ascii="Arial" w:hAnsi="Arial" w:cs="Arial"/>
            <w:color w:val="44546A" w:themeColor="text2"/>
            <w:sz w:val="14"/>
          </w:rPr>
          <w:t xml:space="preserve"> of </w:t>
        </w:r>
        <w:r w:rsidRPr="0072748A">
          <w:rPr>
            <w:rFonts w:ascii="Arial" w:hAnsi="Arial" w:cs="Arial"/>
            <w:b/>
            <w:bCs/>
            <w:color w:val="44546A" w:themeColor="text2"/>
            <w:sz w:val="16"/>
            <w:szCs w:val="24"/>
          </w:rPr>
          <w:fldChar w:fldCharType="begin"/>
        </w:r>
        <w:r w:rsidRPr="0072748A">
          <w:rPr>
            <w:rFonts w:ascii="Arial" w:hAnsi="Arial" w:cs="Arial"/>
            <w:b/>
            <w:bCs/>
            <w:color w:val="44546A" w:themeColor="text2"/>
            <w:sz w:val="14"/>
          </w:rPr>
          <w:instrText xml:space="preserve"> NUMPAGES  </w:instrText>
        </w:r>
        <w:r w:rsidRPr="0072748A">
          <w:rPr>
            <w:rFonts w:ascii="Arial" w:hAnsi="Arial" w:cs="Arial"/>
            <w:b/>
            <w:bCs/>
            <w:color w:val="44546A" w:themeColor="text2"/>
            <w:sz w:val="16"/>
            <w:szCs w:val="24"/>
          </w:rPr>
          <w:fldChar w:fldCharType="separate"/>
        </w:r>
        <w:r w:rsidR="002E09EF">
          <w:rPr>
            <w:rFonts w:ascii="Arial" w:hAnsi="Arial" w:cs="Arial"/>
            <w:b/>
            <w:bCs/>
            <w:noProof/>
            <w:color w:val="44546A" w:themeColor="text2"/>
            <w:sz w:val="14"/>
          </w:rPr>
          <w:t>2</w:t>
        </w:r>
        <w:r w:rsidRPr="0072748A">
          <w:rPr>
            <w:rFonts w:ascii="Arial" w:hAnsi="Arial" w:cs="Arial"/>
            <w:b/>
            <w:bCs/>
            <w:color w:val="44546A" w:themeColor="text2"/>
            <w:sz w:val="16"/>
            <w:szCs w:val="24"/>
          </w:rPr>
          <w:fldChar w:fldCharType="end"/>
        </w:r>
      </w:sdtContent>
    </w:sdt>
    <w:r w:rsidRPr="0072748A">
      <w:rPr>
        <w:rFonts w:ascii="Arial" w:hAnsi="Arial" w:cs="Arial"/>
        <w:color w:val="44546A" w:themeColor="text2"/>
        <w:sz w:val="14"/>
      </w:rPr>
      <w:t xml:space="preserve"> </w:t>
    </w:r>
    <w:r w:rsidRPr="0072748A">
      <w:rPr>
        <w:rFonts w:ascii="Arial" w:hAnsi="Arial" w:cs="Arial"/>
        <w:color w:val="44546A" w:themeColor="text2"/>
        <w:sz w:val="14"/>
      </w:rPr>
      <w:ptab w:relativeTo="margin" w:alignment="right" w:leader="none"/>
    </w:r>
    <w:r w:rsidRPr="0072748A">
      <w:rPr>
        <w:rFonts w:ascii="Arial" w:hAnsi="Arial" w:cs="Arial"/>
        <w:color w:val="44546A" w:themeColor="text2"/>
        <w:sz w:val="14"/>
      </w:rPr>
      <w:t xml:space="preserve">Revised: </w:t>
    </w:r>
    <w:r w:rsidRPr="0072748A">
      <w:rPr>
        <w:rFonts w:ascii="Arial" w:hAnsi="Arial" w:cs="Arial"/>
        <w:color w:val="44546A" w:themeColor="text2"/>
        <w:sz w:val="14"/>
      </w:rPr>
      <w:fldChar w:fldCharType="begin"/>
    </w:r>
    <w:r w:rsidRPr="0072748A">
      <w:rPr>
        <w:rFonts w:ascii="Arial" w:hAnsi="Arial" w:cs="Arial"/>
        <w:color w:val="44546A" w:themeColor="text2"/>
        <w:sz w:val="14"/>
      </w:rPr>
      <w:instrText xml:space="preserve"> SAVEDATE  \@ "M/d/yy"  \* MERGEFORMAT </w:instrText>
    </w:r>
    <w:r w:rsidRPr="0072748A">
      <w:rPr>
        <w:rFonts w:ascii="Arial" w:hAnsi="Arial" w:cs="Arial"/>
        <w:color w:val="44546A" w:themeColor="text2"/>
        <w:sz w:val="14"/>
      </w:rPr>
      <w:fldChar w:fldCharType="separate"/>
    </w:r>
    <w:r w:rsidR="002E09EF">
      <w:rPr>
        <w:rFonts w:ascii="Arial" w:hAnsi="Arial" w:cs="Arial"/>
        <w:noProof/>
        <w:color w:val="44546A" w:themeColor="text2"/>
        <w:sz w:val="14"/>
      </w:rPr>
      <w:t>2/11/20</w:t>
    </w:r>
    <w:r w:rsidRPr="0072748A">
      <w:rPr>
        <w:rFonts w:ascii="Arial" w:hAnsi="Arial" w:cs="Arial"/>
        <w:color w:val="44546A"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72748A" w:rsidRDefault="00BD392E" w:rsidP="003C431C">
    <w:pPr>
      <w:pStyle w:val="Footer"/>
      <w:pBdr>
        <w:top w:val="single" w:sz="24" w:space="0" w:color="1295D8"/>
      </w:pBdr>
      <w:spacing w:after="40"/>
      <w:jc w:val="center"/>
      <w:rPr>
        <w:rFonts w:ascii="Arial" w:hAnsi="Arial" w:cs="Arial"/>
        <w:color w:val="44546A" w:themeColor="text2"/>
        <w:sz w:val="14"/>
      </w:rPr>
    </w:pPr>
    <w:bookmarkStart w:id="0" w:name="_GoBack"/>
    <w:bookmarkEnd w:id="0"/>
    <w:r w:rsidRPr="0072748A">
      <w:rPr>
        <w:rFonts w:ascii="Arial" w:hAnsi="Arial" w:cs="Arial"/>
        <w:color w:val="44546A" w:themeColor="text2"/>
        <w:sz w:val="14"/>
      </w:rPr>
      <w:ptab w:relativeTo="margin" w:alignment="center" w:leader="none"/>
    </w:r>
    <w:sdt>
      <w:sdtPr>
        <w:rPr>
          <w:rFonts w:ascii="Arial" w:hAnsi="Arial" w:cs="Arial"/>
          <w:color w:val="44546A" w:themeColor="text2"/>
          <w:sz w:val="14"/>
        </w:rPr>
        <w:id w:val="-1542581290"/>
        <w:docPartObj>
          <w:docPartGallery w:val="Page Numbers (Top of Page)"/>
          <w:docPartUnique/>
        </w:docPartObj>
      </w:sdtPr>
      <w:sdtEndPr/>
      <w:sdtContent>
        <w:r w:rsidRPr="0072748A">
          <w:rPr>
            <w:rFonts w:ascii="Arial" w:hAnsi="Arial" w:cs="Arial"/>
            <w:color w:val="44546A" w:themeColor="text2"/>
            <w:sz w:val="14"/>
          </w:rPr>
          <w:t xml:space="preserve">Page </w:t>
        </w:r>
        <w:r w:rsidRPr="0072748A">
          <w:rPr>
            <w:rFonts w:ascii="Arial" w:hAnsi="Arial" w:cs="Arial"/>
            <w:b/>
            <w:bCs/>
            <w:color w:val="44546A" w:themeColor="text2"/>
            <w:sz w:val="16"/>
            <w:szCs w:val="24"/>
          </w:rPr>
          <w:fldChar w:fldCharType="begin"/>
        </w:r>
        <w:r w:rsidRPr="0072748A">
          <w:rPr>
            <w:rFonts w:ascii="Arial" w:hAnsi="Arial" w:cs="Arial"/>
            <w:b/>
            <w:bCs/>
            <w:color w:val="44546A" w:themeColor="text2"/>
            <w:sz w:val="14"/>
          </w:rPr>
          <w:instrText xml:space="preserve"> PAGE </w:instrText>
        </w:r>
        <w:r w:rsidRPr="0072748A">
          <w:rPr>
            <w:rFonts w:ascii="Arial" w:hAnsi="Arial" w:cs="Arial"/>
            <w:b/>
            <w:bCs/>
            <w:color w:val="44546A" w:themeColor="text2"/>
            <w:sz w:val="16"/>
            <w:szCs w:val="24"/>
          </w:rPr>
          <w:fldChar w:fldCharType="separate"/>
        </w:r>
        <w:r w:rsidR="002E09EF">
          <w:rPr>
            <w:rFonts w:ascii="Arial" w:hAnsi="Arial" w:cs="Arial"/>
            <w:b/>
            <w:bCs/>
            <w:noProof/>
            <w:color w:val="44546A" w:themeColor="text2"/>
            <w:sz w:val="14"/>
          </w:rPr>
          <w:t>1</w:t>
        </w:r>
        <w:r w:rsidRPr="0072748A">
          <w:rPr>
            <w:rFonts w:ascii="Arial" w:hAnsi="Arial" w:cs="Arial"/>
            <w:b/>
            <w:bCs/>
            <w:color w:val="44546A" w:themeColor="text2"/>
            <w:sz w:val="16"/>
            <w:szCs w:val="24"/>
          </w:rPr>
          <w:fldChar w:fldCharType="end"/>
        </w:r>
        <w:r w:rsidRPr="0072748A">
          <w:rPr>
            <w:rFonts w:ascii="Arial" w:hAnsi="Arial" w:cs="Arial"/>
            <w:color w:val="44546A" w:themeColor="text2"/>
            <w:sz w:val="14"/>
          </w:rPr>
          <w:t xml:space="preserve"> of </w:t>
        </w:r>
        <w:r w:rsidRPr="0072748A">
          <w:rPr>
            <w:rFonts w:ascii="Arial" w:hAnsi="Arial" w:cs="Arial"/>
            <w:b/>
            <w:bCs/>
            <w:color w:val="44546A" w:themeColor="text2"/>
            <w:sz w:val="16"/>
            <w:szCs w:val="24"/>
          </w:rPr>
          <w:fldChar w:fldCharType="begin"/>
        </w:r>
        <w:r w:rsidRPr="0072748A">
          <w:rPr>
            <w:rFonts w:ascii="Arial" w:hAnsi="Arial" w:cs="Arial"/>
            <w:b/>
            <w:bCs/>
            <w:color w:val="44546A" w:themeColor="text2"/>
            <w:sz w:val="14"/>
          </w:rPr>
          <w:instrText xml:space="preserve"> NUMPAGES  </w:instrText>
        </w:r>
        <w:r w:rsidRPr="0072748A">
          <w:rPr>
            <w:rFonts w:ascii="Arial" w:hAnsi="Arial" w:cs="Arial"/>
            <w:b/>
            <w:bCs/>
            <w:color w:val="44546A" w:themeColor="text2"/>
            <w:sz w:val="16"/>
            <w:szCs w:val="24"/>
          </w:rPr>
          <w:fldChar w:fldCharType="separate"/>
        </w:r>
        <w:r w:rsidR="002E09EF">
          <w:rPr>
            <w:rFonts w:ascii="Arial" w:hAnsi="Arial" w:cs="Arial"/>
            <w:b/>
            <w:bCs/>
            <w:noProof/>
            <w:color w:val="44546A" w:themeColor="text2"/>
            <w:sz w:val="14"/>
          </w:rPr>
          <w:t>2</w:t>
        </w:r>
        <w:r w:rsidRPr="0072748A">
          <w:rPr>
            <w:rFonts w:ascii="Arial" w:hAnsi="Arial" w:cs="Arial"/>
            <w:b/>
            <w:bCs/>
            <w:color w:val="44546A" w:themeColor="text2"/>
            <w:sz w:val="16"/>
            <w:szCs w:val="24"/>
          </w:rPr>
          <w:fldChar w:fldCharType="end"/>
        </w:r>
      </w:sdtContent>
    </w:sdt>
    <w:r w:rsidRPr="0072748A">
      <w:rPr>
        <w:rFonts w:ascii="Arial" w:hAnsi="Arial" w:cs="Arial"/>
        <w:color w:val="44546A" w:themeColor="text2"/>
        <w:sz w:val="14"/>
      </w:rPr>
      <w:t xml:space="preserve"> </w:t>
    </w:r>
    <w:r w:rsidRPr="0072748A">
      <w:rPr>
        <w:rFonts w:ascii="Arial" w:hAnsi="Arial" w:cs="Arial"/>
        <w:color w:val="44546A" w:themeColor="text2"/>
        <w:sz w:val="14"/>
      </w:rPr>
      <w:ptab w:relativeTo="margin" w:alignment="right" w:leader="none"/>
    </w:r>
    <w:r w:rsidRPr="0072748A">
      <w:rPr>
        <w:rFonts w:ascii="Arial" w:hAnsi="Arial" w:cs="Arial"/>
        <w:color w:val="44546A" w:themeColor="text2"/>
        <w:sz w:val="14"/>
      </w:rPr>
      <w:t xml:space="preserve">Revised: </w:t>
    </w:r>
    <w:r w:rsidRPr="0072748A">
      <w:rPr>
        <w:rFonts w:ascii="Arial" w:hAnsi="Arial" w:cs="Arial"/>
        <w:color w:val="44546A" w:themeColor="text2"/>
        <w:sz w:val="14"/>
      </w:rPr>
      <w:fldChar w:fldCharType="begin"/>
    </w:r>
    <w:r w:rsidRPr="0072748A">
      <w:rPr>
        <w:rFonts w:ascii="Arial" w:hAnsi="Arial" w:cs="Arial"/>
        <w:color w:val="44546A" w:themeColor="text2"/>
        <w:sz w:val="14"/>
      </w:rPr>
      <w:instrText xml:space="preserve"> SAVEDATE  \@ "M/d/yy"  \* MERGEFORMAT </w:instrText>
    </w:r>
    <w:r w:rsidRPr="0072748A">
      <w:rPr>
        <w:rFonts w:ascii="Arial" w:hAnsi="Arial" w:cs="Arial"/>
        <w:color w:val="44546A" w:themeColor="text2"/>
        <w:sz w:val="14"/>
      </w:rPr>
      <w:fldChar w:fldCharType="separate"/>
    </w:r>
    <w:r w:rsidR="002E09EF">
      <w:rPr>
        <w:rFonts w:ascii="Arial" w:hAnsi="Arial" w:cs="Arial"/>
        <w:noProof/>
        <w:color w:val="44546A" w:themeColor="text2"/>
        <w:sz w:val="14"/>
      </w:rPr>
      <w:t>2/11/20</w:t>
    </w:r>
    <w:r w:rsidRPr="0072748A">
      <w:rPr>
        <w:rFonts w:ascii="Arial" w:hAnsi="Arial" w:cs="Arial"/>
        <w:color w:val="44546A" w:themeColor="text2"/>
        <w:sz w:val="14"/>
      </w:rPr>
      <w:fldChar w:fldCharType="end"/>
    </w:r>
  </w:p>
  <w:p w:rsidR="002E09EF" w:rsidRDefault="002E09EF" w:rsidP="002E09EF">
    <w:pPr>
      <w:pStyle w:val="Footer"/>
      <w:pBdr>
        <w:top w:val="single" w:sz="24" w:space="0" w:color="1295D8"/>
      </w:pBdr>
      <w:jc w:val="center"/>
      <w:rPr>
        <w:color w:val="1A1A1A"/>
        <w:sz w:val="16"/>
        <w:szCs w:val="23"/>
      </w:rPr>
    </w:pPr>
    <w:r w:rsidRPr="00B56073">
      <w:rPr>
        <w:color w:val="1A1A1A"/>
        <w:sz w:val="16"/>
        <w:szCs w:val="23"/>
      </w:rPr>
      <w:t xml:space="preserve">California's CalFresh Healthy Living, with funding from the United States Department of Agriculture’s Supplemental Nutrition Assistance Program – USDA SNAP, produced this material. These institutions are equal opportunity providers and employers. For important nutrition information, visit </w:t>
    </w:r>
    <w:hyperlink r:id="rId1" w:history="1">
      <w:r w:rsidRPr="00F219EC">
        <w:rPr>
          <w:rStyle w:val="Hyperlink"/>
          <w:sz w:val="16"/>
          <w:szCs w:val="23"/>
        </w:rPr>
        <w:t>www.CalFreshHealthyLiving.org</w:t>
      </w:r>
    </w:hyperlink>
    <w:r w:rsidRPr="00B56073">
      <w:rPr>
        <w:color w:val="1A1A1A"/>
        <w:sz w:val="16"/>
        <w:szCs w:val="23"/>
      </w:rPr>
      <w:t>.</w:t>
    </w:r>
  </w:p>
  <w:p w:rsidR="00AC2583" w:rsidRPr="003B1F41" w:rsidRDefault="00AC2583" w:rsidP="002E09EF">
    <w:pPr>
      <w:pStyle w:val="Footer"/>
      <w:pBdr>
        <w:top w:val="single" w:sz="24" w:space="0" w:color="1295D8"/>
      </w:pBd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9D" w:rsidRDefault="00DA1D9D" w:rsidP="003300F2">
      <w:pPr>
        <w:spacing w:after="0" w:line="240" w:lineRule="auto"/>
      </w:pPr>
      <w:r>
        <w:separator/>
      </w:r>
    </w:p>
  </w:footnote>
  <w:footnote w:type="continuationSeparator" w:id="0">
    <w:p w:rsidR="00DA1D9D" w:rsidRDefault="00DA1D9D" w:rsidP="0033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EF" w:rsidRDefault="002E0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0F1895" w:rsidRDefault="00BD392E" w:rsidP="00BD392E">
    <w:pPr>
      <w:pStyle w:val="Header"/>
      <w:pBdr>
        <w:bottom w:val="single" w:sz="24" w:space="1" w:color="0093D0"/>
      </w:pBd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Default="005C4DF9" w:rsidP="005C4DF9">
    <w:pPr>
      <w:pStyle w:val="Header"/>
      <w:pBdr>
        <w:bottom w:val="single" w:sz="24" w:space="0" w:color="1295D8"/>
      </w:pBdr>
    </w:pPr>
    <w:r>
      <w:rPr>
        <w:noProof/>
      </w:rPr>
      <w:drawing>
        <wp:inline distT="0" distB="0" distL="0" distR="0">
          <wp:extent cx="2895600" cy="628015"/>
          <wp:effectExtent l="0" t="0" r="0" b="635"/>
          <wp:docPr id="4" name="Picture 4" title="CalFresh Healthy Living,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Fresh_logo_cmyk - 300 ppi.png"/>
                  <pic:cNvPicPr/>
                </pic:nvPicPr>
                <pic:blipFill rotWithShape="1">
                  <a:blip r:embed="rId1" cstate="print">
                    <a:extLst>
                      <a:ext uri="{28A0092B-C50C-407E-A947-70E740481C1C}">
                        <a14:useLocalDpi xmlns:a14="http://schemas.microsoft.com/office/drawing/2010/main" val="0"/>
                      </a:ext>
                    </a:extLst>
                  </a:blip>
                  <a:srcRect l="7828" t="24160" r="7186" b="26019"/>
                  <a:stretch/>
                </pic:blipFill>
                <pic:spPr bwMode="auto">
                  <a:xfrm>
                    <a:off x="0" y="0"/>
                    <a:ext cx="2898643" cy="628675"/>
                  </a:xfrm>
                  <a:prstGeom prst="rect">
                    <a:avLst/>
                  </a:prstGeom>
                  <a:ln>
                    <a:noFill/>
                  </a:ln>
                  <a:extLst>
                    <a:ext uri="{53640926-AAD7-44D8-BBD7-CCE9431645EC}">
                      <a14:shadowObscured xmlns:a14="http://schemas.microsoft.com/office/drawing/2010/main"/>
                    </a:ext>
                  </a:extLst>
                </pic:spPr>
              </pic:pic>
            </a:graphicData>
          </a:graphic>
        </wp:inline>
      </w:drawing>
    </w:r>
  </w:p>
  <w:p w:rsidR="00BD392E" w:rsidRPr="000F1895" w:rsidRDefault="00BD392E" w:rsidP="005C4DF9">
    <w:pPr>
      <w:pStyle w:val="Header"/>
      <w:pBdr>
        <w:bottom w:val="single" w:sz="24" w:space="0" w:color="1295D8"/>
      </w:pBd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5071F"/>
    <w:multiLevelType w:val="hybridMultilevel"/>
    <w:tmpl w:val="A1B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81072"/>
    <w:multiLevelType w:val="hybridMultilevel"/>
    <w:tmpl w:val="96D4C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6A"/>
    <w:rsid w:val="00052B5A"/>
    <w:rsid w:val="000C4E3F"/>
    <w:rsid w:val="000F1895"/>
    <w:rsid w:val="001373BB"/>
    <w:rsid w:val="0018481E"/>
    <w:rsid w:val="00186976"/>
    <w:rsid w:val="0025248C"/>
    <w:rsid w:val="002E09EF"/>
    <w:rsid w:val="003300F2"/>
    <w:rsid w:val="00361C8F"/>
    <w:rsid w:val="0036775D"/>
    <w:rsid w:val="003B1F41"/>
    <w:rsid w:val="003C431C"/>
    <w:rsid w:val="00443542"/>
    <w:rsid w:val="004B2423"/>
    <w:rsid w:val="005C4DF9"/>
    <w:rsid w:val="005F4C3A"/>
    <w:rsid w:val="006060A7"/>
    <w:rsid w:val="0061026D"/>
    <w:rsid w:val="006144D5"/>
    <w:rsid w:val="00615FB5"/>
    <w:rsid w:val="0072748A"/>
    <w:rsid w:val="00780EAC"/>
    <w:rsid w:val="0078765D"/>
    <w:rsid w:val="0078780B"/>
    <w:rsid w:val="007A2630"/>
    <w:rsid w:val="008664DD"/>
    <w:rsid w:val="00871F92"/>
    <w:rsid w:val="00911D75"/>
    <w:rsid w:val="00927648"/>
    <w:rsid w:val="009338F8"/>
    <w:rsid w:val="009537E5"/>
    <w:rsid w:val="009F40A0"/>
    <w:rsid w:val="00AC2583"/>
    <w:rsid w:val="00BD392E"/>
    <w:rsid w:val="00C42DBC"/>
    <w:rsid w:val="00C52A25"/>
    <w:rsid w:val="00C64830"/>
    <w:rsid w:val="00D6216A"/>
    <w:rsid w:val="00D71221"/>
    <w:rsid w:val="00D8187E"/>
    <w:rsid w:val="00D82AE9"/>
    <w:rsid w:val="00DA1D9D"/>
    <w:rsid w:val="00DB7FB8"/>
    <w:rsid w:val="00DE7220"/>
    <w:rsid w:val="00E007F4"/>
    <w:rsid w:val="00EC3FD7"/>
    <w:rsid w:val="00EC5265"/>
    <w:rsid w:val="00EE2719"/>
    <w:rsid w:val="00F12184"/>
    <w:rsid w:val="00F372BB"/>
    <w:rsid w:val="00F43E57"/>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8F4D076-FD01-4D52-870D-05037EF7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0F2"/>
  </w:style>
  <w:style w:type="paragraph" w:styleId="Footer">
    <w:name w:val="footer"/>
    <w:basedOn w:val="Normal"/>
    <w:link w:val="FooterChar"/>
    <w:uiPriority w:val="99"/>
    <w:unhideWhenUsed/>
    <w:rsid w:val="0033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0F2"/>
  </w:style>
  <w:style w:type="paragraph" w:styleId="BalloonText">
    <w:name w:val="Balloon Text"/>
    <w:basedOn w:val="Normal"/>
    <w:link w:val="BalloonTextChar"/>
    <w:uiPriority w:val="99"/>
    <w:semiHidden/>
    <w:unhideWhenUsed/>
    <w:rsid w:val="0033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F2"/>
    <w:rPr>
      <w:rFonts w:ascii="Tahoma" w:hAnsi="Tahoma" w:cs="Tahoma"/>
      <w:sz w:val="16"/>
      <w:szCs w:val="16"/>
    </w:rPr>
  </w:style>
  <w:style w:type="paragraph" w:styleId="ListParagraph">
    <w:name w:val="List Paragraph"/>
    <w:basedOn w:val="Normal"/>
    <w:uiPriority w:val="34"/>
    <w:qFormat/>
    <w:rsid w:val="00F43E57"/>
    <w:pPr>
      <w:ind w:left="720"/>
      <w:contextualSpacing/>
    </w:pPr>
  </w:style>
  <w:style w:type="paragraph" w:styleId="NormalWeb">
    <w:name w:val="Normal (Web)"/>
    <w:basedOn w:val="Normal"/>
    <w:uiPriority w:val="99"/>
    <w:semiHidden/>
    <w:unhideWhenUsed/>
    <w:rsid w:val="003C431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80EAC"/>
    <w:rPr>
      <w:color w:val="0357A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10254">
      <w:bodyDiv w:val="1"/>
      <w:marLeft w:val="0"/>
      <w:marRight w:val="0"/>
      <w:marTop w:val="0"/>
      <w:marBottom w:val="0"/>
      <w:divBdr>
        <w:top w:val="none" w:sz="0" w:space="0" w:color="auto"/>
        <w:left w:val="none" w:sz="0" w:space="0" w:color="auto"/>
        <w:bottom w:val="none" w:sz="0" w:space="0" w:color="auto"/>
        <w:right w:val="none" w:sz="0" w:space="0" w:color="auto"/>
      </w:divBdr>
    </w:div>
    <w:div w:id="17953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h.ucanr.edu/Resources/Enrollment_For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calfresh.ucdavis.edu/evaluation/yout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cdavis.co1.qualtrics.com/jfe/form/SV_b1v9vSrbewb1n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ccalfresh.ucdavis.edu/sites/g/files/dgvnsk2286/files/inline-files/Teen_Teacher_Instrument_wC_FY20.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CalFreshHealthyLiving.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lFresh Healthy Living Theme">
  <a:themeElements>
    <a:clrScheme name="Custom 1">
      <a:dk1>
        <a:srgbClr val="000000"/>
      </a:dk1>
      <a:lt1>
        <a:srgbClr val="FFFFFF"/>
      </a:lt1>
      <a:dk2>
        <a:srgbClr val="44546A"/>
      </a:dk2>
      <a:lt2>
        <a:srgbClr val="E7E6E6"/>
      </a:lt2>
      <a:accent1>
        <a:srgbClr val="6F2A83"/>
      </a:accent1>
      <a:accent2>
        <a:srgbClr val="8AC43E"/>
      </a:accent2>
      <a:accent3>
        <a:srgbClr val="08934C"/>
      </a:accent3>
      <a:accent4>
        <a:srgbClr val="EA1F26"/>
      </a:accent4>
      <a:accent5>
        <a:srgbClr val="AE292F"/>
      </a:accent5>
      <a:accent6>
        <a:srgbClr val="2A378E"/>
      </a:accent6>
      <a:hlink>
        <a:srgbClr val="0357AB"/>
      </a:hlink>
      <a:folHlink>
        <a:srgbClr val="82456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lFresh Healthy Living Theme" id="{137A7450-6CBD-4E3F-A6FB-F608B066CFFC}" vid="{842DAFAF-9C79-482A-8250-0F19F9D57E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5165-0FAE-4036-92CC-95198881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Galvan</dc:creator>
  <cp:lastModifiedBy>Kelley M Brian</cp:lastModifiedBy>
  <cp:revision>19</cp:revision>
  <dcterms:created xsi:type="dcterms:W3CDTF">2020-01-16T18:09:00Z</dcterms:created>
  <dcterms:modified xsi:type="dcterms:W3CDTF">2020-02-11T23:57:00Z</dcterms:modified>
</cp:coreProperties>
</file>